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Colegas...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segue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 material de Direito Tributário do dia 29/02/2012, </w:t>
      </w:r>
      <w:r>
        <w:rPr>
          <w:rStyle w:val="Forte"/>
          <w:rFonts w:ascii="Tahoma" w:hAnsi="Tahoma" w:cs="Tahoma"/>
          <w:color w:val="000000"/>
          <w:sz w:val="20"/>
          <w:szCs w:val="20"/>
          <w:u w:val="single"/>
        </w:rPr>
        <w:t>NÃO</w:t>
      </w:r>
      <w:r>
        <w:rPr>
          <w:rStyle w:val="Forte"/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é material enviado pela professora.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Style w:val="Forte"/>
          <w:rFonts w:ascii="Tahoma" w:hAnsi="Tahoma" w:cs="Tahoma"/>
          <w:color w:val="000000"/>
          <w:sz w:val="20"/>
          <w:szCs w:val="20"/>
        </w:rPr>
        <w:t>MODALIDADE DE LANÇAMENTO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Três são as modalidades de lançamento: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a) </w:t>
      </w:r>
      <w:r>
        <w:rPr>
          <w:rStyle w:val="Forte"/>
          <w:rFonts w:ascii="Tahoma" w:hAnsi="Tahoma" w:cs="Tahoma"/>
          <w:color w:val="000000"/>
          <w:sz w:val="20"/>
          <w:szCs w:val="20"/>
        </w:rPr>
        <w:t xml:space="preserve">LANÇAMENTO DE OFÍCIO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(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DIRETO ): feito por iniciativa da autoridade administrativa, independente de qualquer colaboração do sujeito passivo. (Art. 149 do CTN)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u w:val="single"/>
        </w:rPr>
        <w:t>Características</w:t>
      </w:r>
      <w:r>
        <w:rPr>
          <w:rStyle w:val="Forte"/>
          <w:rFonts w:ascii="Tahoma" w:hAnsi="Tahoma" w:cs="Tahoma"/>
          <w:color w:val="00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1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) de iniciativa da autoridade tributária; 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2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) independe de qualquer colaboração do sujeito passivo. 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É o caso do IPTU, IPVA.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b) </w:t>
      </w:r>
      <w:r>
        <w:rPr>
          <w:rStyle w:val="Forte"/>
          <w:rFonts w:ascii="Tahoma" w:hAnsi="Tahoma" w:cs="Tahoma"/>
          <w:color w:val="000000"/>
          <w:sz w:val="20"/>
          <w:szCs w:val="20"/>
        </w:rPr>
        <w:t xml:space="preserve">LANÇAMENTO POR DECLARAÇÃO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( 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MISTO ):  feito em face de declaração fornecida pelo contribuinte ou pelo terceiro, quando prestam à autoridade administrativas informações quanto à matéria de fato indispensável à sua efetivação. A autoridade com base nas informações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, efetua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 lançamento. (Art. 147 do CTN)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u w:val="single"/>
        </w:rPr>
        <w:t xml:space="preserve">Características: 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1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) o sujeito passivo fornece informações à autoridade tributária; 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2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) a autoridade tributária lança após receber as informações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Em resumo: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1º passo. Sujeito passivo ou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terceiro legalmente obrigado presta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informações fiscais</w:t>
      </w:r>
      <w:r>
        <w:rPr>
          <w:rFonts w:ascii="Tahoma" w:hAnsi="Tahoma" w:cs="Tahoma"/>
          <w:color w:val="000000"/>
          <w:sz w:val="20"/>
          <w:szCs w:val="20"/>
        </w:rPr>
        <w:br/>
        <w:t>2º passo. Autoridade administrativa lança</w:t>
      </w:r>
      <w:r>
        <w:rPr>
          <w:rFonts w:ascii="Tahoma" w:hAnsi="Tahoma" w:cs="Tahoma"/>
          <w:color w:val="000000"/>
          <w:sz w:val="20"/>
          <w:szCs w:val="20"/>
        </w:rPr>
        <w:br/>
        <w:t>3º passo. Sujeito passivo paga, ou não, o tributo devido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É o caso do Imposto de Transmissão 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Intervivos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de bens imóveis e direitos a eles relativos – ITBI e Imposto sobre heranças e doações ou causa 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mortis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- ITCMD, Imposto de Exportação - IE. 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retificação da declaração por iniciativa do próprio declarante, quando vise a reduzir ou a excluir tributo, só é admissível mediante comprovação do erro em que se funde, e antes de notificado o lançamento.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c) </w:t>
      </w:r>
      <w:r>
        <w:rPr>
          <w:rStyle w:val="Forte"/>
          <w:rFonts w:ascii="Tahoma" w:hAnsi="Tahoma" w:cs="Tahoma"/>
          <w:color w:val="000000"/>
          <w:sz w:val="20"/>
          <w:szCs w:val="20"/>
        </w:rPr>
        <w:t xml:space="preserve">LANÇAMENTO POR HOMOLOGAÇÃO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( 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AUTOLANÇAMENTO ):  feito quanto aos tributos em que o próprio sujeito passivo antecipa o pagamento sem prévio exame da autoridade administrativa. A autoridade, tomando conhecimento da determinação feita pelo sujeito passivo, expressamente o homologa. (Art. 150 do CTN)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Características: 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1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) sujeito passivo antecipa o pagamento; 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2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) não há prévio exame da autoridade tributária; 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3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) a autoridade tributária faz a homologação posterior; 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4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) pode ocorrer homologação tácita, não confirmação após 5 anos.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É o caso do Imposto de Renda - IR, Imposto de Importação - II, IPI, ICMS, IOF, ITR, ISSQN, Contribuições Sociais.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647EA" w:rsidRDefault="00E647EA" w:rsidP="00E647EA">
      <w:pPr>
        <w:pStyle w:val="NormalWeb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647EA" w:rsidRDefault="00E647EA" w:rsidP="00E647EA">
      <w:pPr>
        <w:pStyle w:val="ecxmsonormal"/>
        <w:shd w:val="clear" w:color="auto" w:fill="FFFFFF"/>
        <w:rPr>
          <w:rFonts w:ascii="Tahoma" w:hAnsi="Tahoma" w:cs="Tahoma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3166"/>
          <w:sz w:val="15"/>
          <w:szCs w:val="15"/>
        </w:rPr>
        <w:t> </w:t>
      </w:r>
      <w:r>
        <w:rPr>
          <w:rFonts w:ascii="Arial" w:hAnsi="Arial" w:cs="Arial"/>
          <w:b/>
          <w:bCs/>
          <w:color w:val="003166"/>
        </w:rPr>
        <w:t>Gilberto Siqueira da Silva.</w:t>
      </w:r>
    </w:p>
    <w:p w:rsidR="003A5B3E" w:rsidRDefault="003A5B3E"/>
    <w:sectPr w:rsidR="003A5B3E" w:rsidSect="003A5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647EA"/>
    <w:rsid w:val="002C7434"/>
    <w:rsid w:val="003A5B3E"/>
    <w:rsid w:val="00E6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B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647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47E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E647E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0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92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80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97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800003">
                                                  <w:marLeft w:val="0"/>
                                                  <w:marRight w:val="6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35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06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04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417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1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342899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17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952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288924">
                                                                                  <w:marLeft w:val="138"/>
                                                                                  <w:marRight w:val="138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107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7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815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71623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044055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7620963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9619561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0015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2012-03-04T16:24:00Z</dcterms:created>
  <dcterms:modified xsi:type="dcterms:W3CDTF">2012-03-04T16:36:00Z</dcterms:modified>
</cp:coreProperties>
</file>